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490" w:rsidRPr="00EA0996" w:rsidRDefault="00A65490" w:rsidP="00A65490">
      <w:pPr>
        <w:spacing w:after="0"/>
        <w:rPr>
          <w:rFonts w:ascii="Arial" w:hAnsi="Arial" w:cs="Arial"/>
          <w:sz w:val="28"/>
          <w:szCs w:val="28"/>
        </w:rPr>
      </w:pPr>
      <w:r w:rsidRPr="00EA0996">
        <w:rPr>
          <w:rFonts w:ascii="Arial" w:hAnsi="Arial" w:cs="Arial"/>
          <w:sz w:val="28"/>
          <w:szCs w:val="28"/>
        </w:rPr>
        <w:t>HTF 2016 Hypoxic Zone Presentation</w:t>
      </w:r>
      <w:bookmarkStart w:id="0" w:name="_GoBack"/>
      <w:bookmarkEnd w:id="0"/>
    </w:p>
    <w:p w:rsidR="00A65490" w:rsidRDefault="001300BE" w:rsidP="00A654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– Nov. 22</w:t>
      </w:r>
      <w:r w:rsidR="00A65490">
        <w:rPr>
          <w:rFonts w:ascii="Arial" w:hAnsi="Arial" w:cs="Arial"/>
          <w:sz w:val="24"/>
          <w:szCs w:val="24"/>
        </w:rPr>
        <w:t>, 2016</w:t>
      </w:r>
    </w:p>
    <w:p w:rsidR="00A65490" w:rsidRDefault="00A65490" w:rsidP="00A65490">
      <w:pPr>
        <w:spacing w:after="0"/>
        <w:rPr>
          <w:rFonts w:ascii="Arial" w:hAnsi="Arial" w:cs="Arial"/>
          <w:sz w:val="24"/>
          <w:szCs w:val="24"/>
        </w:rPr>
      </w:pPr>
    </w:p>
    <w:p w:rsidR="00A65490" w:rsidRDefault="00975D8B" w:rsidP="00975D8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 of presentation</w:t>
      </w:r>
    </w:p>
    <w:p w:rsidR="00975D8B" w:rsidRDefault="00975D8B" w:rsidP="00975D8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 of science tools guiding the HTF on the coastal side</w:t>
      </w:r>
    </w:p>
    <w:p w:rsidR="00975D8B" w:rsidRDefault="00975D8B" w:rsidP="00975D8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and characterization</w:t>
      </w:r>
      <w:r w:rsidR="004C4C8A">
        <w:rPr>
          <w:rFonts w:ascii="Arial" w:hAnsi="Arial" w:cs="Arial"/>
          <w:sz w:val="24"/>
          <w:szCs w:val="24"/>
        </w:rPr>
        <w:t xml:space="preserve"> – HTF metric</w:t>
      </w:r>
    </w:p>
    <w:p w:rsidR="00975D8B" w:rsidRDefault="004C4C8A" w:rsidP="00975D8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Empirical m</w:t>
      </w:r>
      <w:r w:rsidR="00975D8B">
        <w:rPr>
          <w:rFonts w:ascii="Arial" w:hAnsi="Arial" w:cs="Arial"/>
          <w:sz w:val="24"/>
          <w:szCs w:val="24"/>
        </w:rPr>
        <w:t>odels to support nutrient goal-setting</w:t>
      </w:r>
    </w:p>
    <w:p w:rsidR="00975D8B" w:rsidRDefault="004C4C8A" w:rsidP="00975D8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3D, time-variable mechanistic m</w:t>
      </w:r>
      <w:r w:rsidR="00975D8B">
        <w:rPr>
          <w:rFonts w:ascii="Arial" w:hAnsi="Arial" w:cs="Arial"/>
          <w:sz w:val="24"/>
          <w:szCs w:val="24"/>
        </w:rPr>
        <w:t>odels to support more specific goal-setting issues and to support habitat and living resource impacts research</w:t>
      </w:r>
    </w:p>
    <w:p w:rsidR="00975D8B" w:rsidRPr="004C4C8A" w:rsidRDefault="00975D8B" w:rsidP="004C4C8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Research and modeling to </w:t>
      </w:r>
      <w:r w:rsidRPr="004C4C8A">
        <w:rPr>
          <w:rFonts w:ascii="Arial" w:hAnsi="Arial" w:cs="Arial"/>
          <w:sz w:val="24"/>
          <w:szCs w:val="24"/>
        </w:rPr>
        <w:t>evaluate ecological and socioeconomic impacts</w:t>
      </w:r>
    </w:p>
    <w:p w:rsidR="004C4C8A" w:rsidRDefault="004C4C8A" w:rsidP="004C4C8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Historical measurements of the hypoxic zone size</w:t>
      </w:r>
    </w:p>
    <w:p w:rsidR="004C4C8A" w:rsidRDefault="004C4C8A" w:rsidP="004C4C8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2016 prediction</w:t>
      </w:r>
    </w:p>
    <w:p w:rsidR="004C4C8A" w:rsidRDefault="004C4C8A" w:rsidP="004C4C8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were we able to monitor in 2016?</w:t>
      </w:r>
    </w:p>
    <w:p w:rsidR="004C4C8A" w:rsidRDefault="004C4C8A" w:rsidP="004C4C8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3D, time variable</w:t>
      </w:r>
      <w:r w:rsidR="001300BE">
        <w:rPr>
          <w:rFonts w:ascii="Arial" w:hAnsi="Arial" w:cs="Arial"/>
          <w:sz w:val="24"/>
          <w:szCs w:val="24"/>
        </w:rPr>
        <w:t xml:space="preserve"> model</w:t>
      </w:r>
      <w:r>
        <w:rPr>
          <w:rFonts w:ascii="Arial" w:hAnsi="Arial" w:cs="Arial"/>
          <w:sz w:val="24"/>
          <w:szCs w:val="24"/>
        </w:rPr>
        <w:t xml:space="preserve"> output developed to date for 2016</w:t>
      </w:r>
      <w:r w:rsidR="001300BE">
        <w:rPr>
          <w:rFonts w:ascii="Arial" w:hAnsi="Arial" w:cs="Arial"/>
          <w:sz w:val="24"/>
          <w:szCs w:val="24"/>
        </w:rPr>
        <w:t xml:space="preserve"> (movies):</w:t>
      </w:r>
    </w:p>
    <w:p w:rsidR="004C4C8A" w:rsidRDefault="001300BE" w:rsidP="001300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Salinity</w:t>
      </w:r>
    </w:p>
    <w:p w:rsidR="001300BE" w:rsidRDefault="001300BE" w:rsidP="001300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Temperature</w:t>
      </w:r>
    </w:p>
    <w:p w:rsidR="001300BE" w:rsidRPr="004C4C8A" w:rsidRDefault="001300BE" w:rsidP="001300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Hypoxia</w:t>
      </w:r>
    </w:p>
    <w:p w:rsidR="00A65490" w:rsidRDefault="001300BE" w:rsidP="001300B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3D, time-variable model output developed to date for 2016 (statistics, graphs):</w:t>
      </w:r>
    </w:p>
    <w:p w:rsidR="001300BE" w:rsidRDefault="001300BE" w:rsidP="001300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Hypoxia area through summer (cumulative bottom area affected at some point during the summer)</w:t>
      </w:r>
    </w:p>
    <w:p w:rsidR="001300BE" w:rsidRDefault="001300BE" w:rsidP="001300B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300BE">
        <w:rPr>
          <w:rFonts w:ascii="Arial" w:hAnsi="Arial" w:cs="Arial"/>
          <w:sz w:val="24"/>
          <w:szCs w:val="24"/>
        </w:rPr>
        <w:t xml:space="preserve">Estimate of mid-summer area </w:t>
      </w:r>
      <w:r w:rsidR="00434FF8">
        <w:rPr>
          <w:rFonts w:ascii="Arial" w:hAnsi="Arial" w:cs="Arial"/>
          <w:sz w:val="24"/>
          <w:szCs w:val="24"/>
        </w:rPr>
        <w:t xml:space="preserve">roughly equivalent </w:t>
      </w:r>
      <w:r w:rsidRPr="001300BE">
        <w:rPr>
          <w:rFonts w:ascii="Arial" w:hAnsi="Arial" w:cs="Arial"/>
          <w:sz w:val="24"/>
          <w:szCs w:val="24"/>
        </w:rPr>
        <w:t>to mid-summer cruise</w:t>
      </w:r>
    </w:p>
    <w:p w:rsidR="00A65490" w:rsidRDefault="001300BE" w:rsidP="001300B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Summary of major drivers and interesting/unusual patterns for summer, 2016; higher temps preview of climate </w:t>
      </w:r>
      <w:proofErr w:type="gramStart"/>
      <w:r>
        <w:rPr>
          <w:rFonts w:ascii="Arial" w:hAnsi="Arial" w:cs="Arial"/>
          <w:sz w:val="24"/>
          <w:szCs w:val="24"/>
        </w:rPr>
        <w:t>change?;</w:t>
      </w:r>
      <w:proofErr w:type="gramEnd"/>
      <w:r>
        <w:rPr>
          <w:rFonts w:ascii="Arial" w:hAnsi="Arial" w:cs="Arial"/>
          <w:sz w:val="24"/>
          <w:szCs w:val="24"/>
        </w:rPr>
        <w:t xml:space="preserve"> intersections with ocean acidification?</w:t>
      </w:r>
    </w:p>
    <w:p w:rsidR="001300BE" w:rsidRPr="001300BE" w:rsidRDefault="001300BE" w:rsidP="001300B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Conclusions – review utility of models for HTF needs, stress importance of observations to calibrate and verify models</w:t>
      </w:r>
      <w:proofErr w:type="gramStart"/>
      <w:r>
        <w:rPr>
          <w:rFonts w:ascii="Arial" w:hAnsi="Arial" w:cs="Arial"/>
          <w:sz w:val="24"/>
          <w:szCs w:val="24"/>
        </w:rPr>
        <w:t>, ?</w:t>
      </w:r>
      <w:proofErr w:type="gramEnd"/>
    </w:p>
    <w:sectPr w:rsidR="001300BE" w:rsidRPr="00130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D5B"/>
    <w:multiLevelType w:val="hybridMultilevel"/>
    <w:tmpl w:val="FE42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90"/>
    <w:rsid w:val="001300BE"/>
    <w:rsid w:val="00434FF8"/>
    <w:rsid w:val="004C4C8A"/>
    <w:rsid w:val="005676E1"/>
    <w:rsid w:val="00975D8B"/>
    <w:rsid w:val="00A65490"/>
    <w:rsid w:val="00B47F79"/>
    <w:rsid w:val="00CE4AA4"/>
    <w:rsid w:val="00E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3804"/>
  <w15:chartTrackingRefBased/>
  <w15:docId w15:val="{C5E37530-F223-48B0-850D-F2DCBECE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Magnien</dc:creator>
  <cp:keywords/>
  <dc:description/>
  <cp:lastModifiedBy>Robert Magnien</cp:lastModifiedBy>
  <cp:revision>4</cp:revision>
  <dcterms:created xsi:type="dcterms:W3CDTF">2016-11-22T13:54:00Z</dcterms:created>
  <dcterms:modified xsi:type="dcterms:W3CDTF">2016-11-22T14:55:00Z</dcterms:modified>
</cp:coreProperties>
</file>